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28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21 января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Бигвавы Гиглы Михайловича, </w:t>
      </w:r>
      <w:r>
        <w:rPr>
          <w:rStyle w:val="cat-ExternalSystemDefinedgrp-46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7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 генеральным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ДОСУГ-ПЛЮС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и проживающего по адресу: </w:t>
      </w:r>
      <w:r>
        <w:rPr>
          <w:rStyle w:val="cat-UserDefinedgrp-4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8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5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Бигвава Г.М., являясь генеральным директором ООО «ДОСУГ-ПЛЮС», зарегистрированного по адресу: ХМАО-Югра, г. Нефтеюганск, ул. Сургутская, 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РФ, до </w:t>
      </w:r>
      <w:r>
        <w:rPr>
          <w:rFonts w:ascii="Times New Roman" w:eastAsia="Times New Roman" w:hAnsi="Times New Roman" w:cs="Times New Roman"/>
          <w:sz w:val="26"/>
          <w:szCs w:val="26"/>
        </w:rPr>
        <w:t>28.10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ев,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27.10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Бигвава Г.М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Бигвавы Г.М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Бигвавы Г.М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8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08.12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директор </w:t>
      </w:r>
      <w:r>
        <w:rPr>
          <w:rFonts w:ascii="Times New Roman" w:eastAsia="Times New Roman" w:hAnsi="Times New Roman" w:cs="Times New Roman"/>
          <w:sz w:val="26"/>
          <w:szCs w:val="26"/>
        </w:rPr>
        <w:t>Бигвава Г.М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19.11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квитанцией о приеме налоговой декларации (расчета), бухгалтерской (финансовой) отчетности в электронной форме от </w:t>
      </w:r>
      <w:r>
        <w:rPr>
          <w:rFonts w:ascii="Times New Roman" w:eastAsia="Times New Roman" w:hAnsi="Times New Roman" w:cs="Times New Roman"/>
          <w:sz w:val="26"/>
          <w:szCs w:val="26"/>
        </w:rPr>
        <w:t>29.10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4 п.1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п.6 ст.80 Налогового кодекса РФ налоговая декларация представляется в установленные законодательством о налогах и сборах сроки.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1, 2 ст. 346.12 Налогового кодекса РФ, налогоплательщиками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 Организация имеет право перейти на упрощенную систему налогообложения, если по итогам девяти месяцев того года, в котором организация подает уведомление о переходе на упрощенную систему налогообложения, доходы, определяемые в соответствии со статьей 248 настоящего Кодекса, не превысили 112,5 млн. рублей.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пп. 1 п. 1 ст. 346.23 Налогового кодекса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Проанализировав и оценив в совокупности изложенные выше доказательства, мировой судья пришел к выводу о том,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«ДОСУГ-ПЛЮС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Бигвавы Г.М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установлена и доказана, его деяние подлежит квалификации по ст. 15.5 КоАП РФ, так как </w:t>
      </w:r>
      <w:r>
        <w:rPr>
          <w:rFonts w:ascii="Times New Roman" w:eastAsia="Times New Roman" w:hAnsi="Times New Roman" w:cs="Times New Roman"/>
          <w:sz w:val="26"/>
          <w:szCs w:val="26"/>
        </w:rPr>
        <w:t>Бигвава Г.М</w:t>
      </w:r>
      <w:r>
        <w:rPr>
          <w:rFonts w:ascii="Times New Roman" w:eastAsia="Times New Roman" w:hAnsi="Times New Roman" w:cs="Times New Roman"/>
          <w:sz w:val="26"/>
          <w:szCs w:val="26"/>
        </w:rPr>
        <w:t>.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сроки предоставления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Одновременно с этим, несмотря на то, что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«ДОСУГ-ПЛЮС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Бигвавы Г.М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имеется состав административного правонарушения, мировой судья учитывает обстоятельства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Бигвавой Г.М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административного правонарушения.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квитанции о приеме налоговой декларации следует, что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«ДОСУГ-ПЛЮС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налоговый орган представлена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при этом срок предоставления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24:00 час. </w:t>
      </w:r>
      <w:r>
        <w:rPr>
          <w:rFonts w:ascii="Times New Roman" w:eastAsia="Times New Roman" w:hAnsi="Times New Roman" w:cs="Times New Roman"/>
          <w:sz w:val="26"/>
          <w:szCs w:val="26"/>
        </w:rPr>
        <w:t>27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6"/>
          <w:szCs w:val="26"/>
        </w:rPr>
        <w:t>ООО «ДОСУГ-ПЛЮС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лице его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Бигвавы Г.М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был нарушен срок представления сведений, необходимых для осуществления налогового контроля, который составил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>
        <w:rPr>
          <w:rFonts w:ascii="Times New Roman" w:eastAsia="Times New Roman" w:hAnsi="Times New Roman" w:cs="Times New Roman"/>
          <w:sz w:val="26"/>
          <w:szCs w:val="26"/>
        </w:rPr>
        <w:t>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 этом, незначительная просрочка представления сведений не создала существенной угрозы охраняемым общественным отношениям, такие доказательства в деле отсутствуют.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п. 21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Формально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Бигвавы Г.М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имеется состав административного правонарушения, однако деяние не повлекло неблагоприятных последствий, не лишило налоговые органы возможности осуществления контроля, за правильностью исчисления, удержания и перечисления налогов </w:t>
      </w:r>
      <w:r>
        <w:rPr>
          <w:rFonts w:ascii="Times New Roman" w:eastAsia="Times New Roman" w:hAnsi="Times New Roman" w:cs="Times New Roman"/>
          <w:sz w:val="26"/>
          <w:szCs w:val="26"/>
        </w:rPr>
        <w:t>ООО «ДОСУГ-ПЛЮС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». Таким образом, несвоевременное представление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ООО «ДОСУГ-ПЛЮС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налогового расчета по страховым взносам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9 месяцев, квартальный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повлекло существенного нарушения охраняемых общественных правоотношений и государственных интересов, что свидетельствует о малозначительности административного правонарушения.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 мировой судья считает, что совершенное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«ДОСУГ-ПЛЮС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Бигвав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административное правонарушение в силу ст. 2.9 КоАП РФ является малозначительным,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«ДОСУГ-ПЛЮС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Бигваву Г.М</w:t>
      </w:r>
      <w:r>
        <w:rPr>
          <w:rFonts w:ascii="Times New Roman" w:eastAsia="Times New Roman" w:hAnsi="Times New Roman" w:cs="Times New Roman"/>
          <w:sz w:val="26"/>
          <w:szCs w:val="26"/>
        </w:rPr>
        <w:t>. следует освободить от административной ответственности и ограничиться устным замечанием.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2.9, 29.9 ч.1, 29.10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Производство по делу об административном правонарушении, предусмотренном ст. 15.5 Кодекса Российской Федерации об административных правонарушениях,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генерального директора ООО «ДОСУГ-ПЛЮС» Бигваву Гиглу Михайловича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прекратить в связи с малозначительностью.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Объявить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генерально</w:t>
      </w:r>
      <w:r>
        <w:rPr>
          <w:rFonts w:ascii="Times New Roman" w:eastAsia="Times New Roman" w:hAnsi="Times New Roman" w:cs="Times New Roman"/>
          <w:sz w:val="25"/>
          <w:szCs w:val="25"/>
        </w:rPr>
        <w:t>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директор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ООО «ДОСУГ-ПЛЮС» Бигвав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Гигл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Михайлович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устное замечание.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6">
    <w:name w:val="cat-ExternalSystemDefined grp-46 rplc-6"/>
    <w:basedOn w:val="DefaultParagraphFont"/>
  </w:style>
  <w:style w:type="character" w:customStyle="1" w:styleId="cat-PassportDatagrp-37rplc-7">
    <w:name w:val="cat-PassportData grp-37 rplc-7"/>
    <w:basedOn w:val="DefaultParagraphFont"/>
  </w:style>
  <w:style w:type="character" w:customStyle="1" w:styleId="cat-UserDefinedgrp-47rplc-9">
    <w:name w:val="cat-UserDefined grp-47 rplc-9"/>
    <w:basedOn w:val="DefaultParagraphFont"/>
  </w:style>
  <w:style w:type="character" w:customStyle="1" w:styleId="cat-PassportDatagrp-38rplc-11">
    <w:name w:val="cat-PassportData grp-38 rplc-11"/>
    <w:basedOn w:val="DefaultParagraphFont"/>
  </w:style>
  <w:style w:type="character" w:customStyle="1" w:styleId="cat-ExternalSystemDefinedgrp-45rplc-12">
    <w:name w:val="cat-ExternalSystemDefined grp-45 rplc-12"/>
    <w:basedOn w:val="DefaultParagraphFont"/>
  </w:style>
  <w:style w:type="character" w:customStyle="1" w:styleId="cat-ExternalSystemDefinedgrp-44rplc-13">
    <w:name w:val="cat-ExternalSystemDefined grp-44 rplc-13"/>
    <w:basedOn w:val="DefaultParagraphFont"/>
  </w:style>
  <w:style w:type="character" w:customStyle="1" w:styleId="cat-UserDefinedgrp-48rplc-26">
    <w:name w:val="cat-UserDefined grp-48 rplc-26"/>
    <w:basedOn w:val="DefaultParagraphFont"/>
  </w:style>
  <w:style w:type="character" w:customStyle="1" w:styleId="cat-UserDefinedgrp-49rplc-60">
    <w:name w:val="cat-UserDefined grp-49 rplc-60"/>
    <w:basedOn w:val="DefaultParagraphFont"/>
  </w:style>
  <w:style w:type="character" w:customStyle="1" w:styleId="cat-UserDefinedgrp-50rplc-63">
    <w:name w:val="cat-UserDefined grp-50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